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52E7D25" w14:textId="77777777" w:rsidR="002111D6" w:rsidRPr="00897308" w:rsidRDefault="00404E07" w:rsidP="002116FD">
      <w:pPr>
        <w:rPr>
          <w:b/>
          <w:bCs/>
          <w:lang w:val="en-US"/>
        </w:rPr>
      </w:pPr>
      <w:r w:rsidRPr="00897308">
        <w:rPr>
          <w:lang w:val="en-US"/>
        </w:rPr>
        <w:t>Supplementary Material:</w:t>
      </w:r>
    </w:p>
    <w:p w14:paraId="6D903D81" w14:textId="1F882635" w:rsidR="002116FD" w:rsidRPr="00897308" w:rsidRDefault="002116FD" w:rsidP="002116FD">
      <w:pPr>
        <w:rPr>
          <w:b/>
          <w:bCs/>
          <w:lang w:val="en-US"/>
        </w:rPr>
      </w:pPr>
      <w:r w:rsidRPr="00897308">
        <w:rPr>
          <w:b/>
          <w:bCs/>
          <w:lang w:val="en-US"/>
        </w:rPr>
        <w:t>Comparative study of structural and functional rearrangements in skeletal muscle mitochondria of SOD1-G93A transgenic mice at pre-, early and late symptomatic stages of ALS progression</w:t>
      </w:r>
    </w:p>
    <w:p w14:paraId="48195E7D" w14:textId="77777777" w:rsidR="002111D6" w:rsidRPr="00897308" w:rsidRDefault="002111D6" w:rsidP="002116FD">
      <w:pPr>
        <w:rPr>
          <w:lang w:val="en-US"/>
        </w:rPr>
      </w:pPr>
    </w:p>
    <w:p w14:paraId="51946DCE" w14:textId="586FA2AF" w:rsidR="002116FD" w:rsidRPr="00897308" w:rsidRDefault="002116FD" w:rsidP="002116FD">
      <w:pPr>
        <w:rPr>
          <w:vertAlign w:val="superscript"/>
          <w:lang w:val="en-US"/>
        </w:rPr>
      </w:pPr>
      <w:r w:rsidRPr="00897308">
        <w:rPr>
          <w:lang w:val="en-US"/>
        </w:rPr>
        <w:t>Natalia V. Belosludtseva</w:t>
      </w:r>
      <w:proofErr w:type="gramStart"/>
      <w:r w:rsidRPr="00897308">
        <w:rPr>
          <w:vertAlign w:val="superscript"/>
          <w:lang w:val="en-US"/>
        </w:rPr>
        <w:t>1,*</w:t>
      </w:r>
      <w:proofErr w:type="gramEnd"/>
      <w:r w:rsidRPr="00897308">
        <w:rPr>
          <w:lang w:val="en-US"/>
        </w:rPr>
        <w:t>, Anna I. Ilzorkina</w:t>
      </w:r>
      <w:r w:rsidRPr="00897308">
        <w:rPr>
          <w:vertAlign w:val="superscript"/>
          <w:lang w:val="en-US"/>
        </w:rPr>
        <w:t>1</w:t>
      </w:r>
      <w:r w:rsidRPr="00897308">
        <w:rPr>
          <w:lang w:val="en-US"/>
        </w:rPr>
        <w:t>, Mikhail V. Dubinin</w:t>
      </w:r>
      <w:r w:rsidRPr="00897308">
        <w:rPr>
          <w:vertAlign w:val="superscript"/>
          <w:lang w:val="en-US"/>
        </w:rPr>
        <w:t>2</w:t>
      </w:r>
      <w:r w:rsidRPr="00897308">
        <w:rPr>
          <w:lang w:val="en-US"/>
        </w:rPr>
        <w:t>, Irina B. Mikheeva</w:t>
      </w:r>
      <w:r w:rsidRPr="00897308">
        <w:rPr>
          <w:vertAlign w:val="superscript"/>
          <w:lang w:val="en-US"/>
        </w:rPr>
        <w:t>1</w:t>
      </w:r>
      <w:r w:rsidRPr="00897308">
        <w:rPr>
          <w:lang w:val="en-US"/>
        </w:rPr>
        <w:t>, Konstantin N. Belosludtsev</w:t>
      </w:r>
      <w:r w:rsidRPr="00897308">
        <w:rPr>
          <w:vertAlign w:val="superscript"/>
          <w:lang w:val="en-US"/>
        </w:rPr>
        <w:t>1</w:t>
      </w:r>
    </w:p>
    <w:p w14:paraId="2DD3BBAB" w14:textId="77777777" w:rsidR="005F4EDC" w:rsidRPr="00897308" w:rsidRDefault="005F4EDC">
      <w:pPr>
        <w:rPr>
          <w:lang w:val="en-US"/>
        </w:rPr>
      </w:pPr>
      <w:bookmarkStart w:id="0" w:name="_GoBack"/>
      <w:bookmarkEnd w:id="0"/>
    </w:p>
    <w:p w14:paraId="1A432A12" w14:textId="77777777" w:rsidR="002111D6" w:rsidRPr="00897308" w:rsidRDefault="002111D6">
      <w:pPr>
        <w:rPr>
          <w:lang w:val="en-US"/>
        </w:rPr>
      </w:pPr>
    </w:p>
    <w:p w14:paraId="32201FE2" w14:textId="1BC2747F" w:rsidR="005F4EDC" w:rsidRPr="00897308" w:rsidRDefault="005F4EDC">
      <w:pPr>
        <w:rPr>
          <w:lang w:val="en-US"/>
        </w:rPr>
      </w:pPr>
      <w:r w:rsidRPr="00897308">
        <w:rPr>
          <w:noProof/>
          <w:lang w:val="en-US"/>
        </w:rPr>
        <w:drawing>
          <wp:inline distT="0" distB="0" distL="0" distR="0" wp14:anchorId="0DFBDF64" wp14:editId="2ED34C44">
            <wp:extent cx="5760720" cy="2520696"/>
            <wp:effectExtent l="0" t="0" r="0" b="0"/>
            <wp:docPr id="13616082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608228" name="Рисунок 1361608228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2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B57B7" w14:textId="59609DC6" w:rsidR="002111D6" w:rsidRPr="00897308" w:rsidRDefault="009341BC" w:rsidP="005877C2">
      <w:pPr>
        <w:jc w:val="both"/>
        <w:rPr>
          <w:lang w:val="en-US"/>
        </w:rPr>
      </w:pPr>
      <w:r w:rsidRPr="00897308">
        <w:rPr>
          <w:b/>
          <w:bCs/>
          <w:lang w:val="en-US"/>
        </w:rPr>
        <w:t xml:space="preserve">Fig. S1. Representative TEM micrographs of longitudinal sections of the quadriceps femoris from non-transgenic (A) and SOD1-G93A (B) male mice at P56, established as </w:t>
      </w:r>
      <w:r w:rsidR="00A05462" w:rsidRPr="00897308">
        <w:rPr>
          <w:b/>
          <w:bCs/>
          <w:lang w:val="en-US"/>
        </w:rPr>
        <w:t xml:space="preserve">the </w:t>
      </w:r>
      <w:r w:rsidRPr="00897308">
        <w:rPr>
          <w:b/>
          <w:bCs/>
          <w:lang w:val="en-US"/>
        </w:rPr>
        <w:t>pre-symptomatic stage of ALS</w:t>
      </w:r>
      <w:r w:rsidR="00A05462" w:rsidRPr="00897308">
        <w:rPr>
          <w:b/>
          <w:bCs/>
          <w:lang w:val="en-US"/>
        </w:rPr>
        <w:t xml:space="preserve"> </w:t>
      </w:r>
      <w:r w:rsidR="00A05462" w:rsidRPr="00897308">
        <w:rPr>
          <w:rFonts w:eastAsia="宋体"/>
          <w:b/>
          <w:bCs/>
          <w:color w:val="000000"/>
          <w:lang w:val="en-US"/>
        </w:rPr>
        <w:t>progression</w:t>
      </w:r>
      <w:r w:rsidRPr="00897308">
        <w:rPr>
          <w:b/>
          <w:bCs/>
          <w:lang w:val="en-US"/>
        </w:rPr>
        <w:t xml:space="preserve">. </w:t>
      </w:r>
      <w:r w:rsidRPr="00897308">
        <w:rPr>
          <w:lang w:val="en-US"/>
        </w:rPr>
        <w:t>Low magnification images of the subsarcolemmal region of the muscle (</w:t>
      </w:r>
      <w:r w:rsidR="00BF66BF" w:rsidRPr="00897308">
        <w:rPr>
          <w:rFonts w:eastAsia="FangSong"/>
          <w:lang w:val="en-US"/>
        </w:rPr>
        <w:t>×</w:t>
      </w:r>
      <w:r w:rsidRPr="00897308">
        <w:rPr>
          <w:lang w:val="en-US"/>
        </w:rPr>
        <w:t xml:space="preserve">1500). In both groups, the sarcomeres had a typical morphology; no abnormalities were observed. The scale bar is </w:t>
      </w:r>
      <w:r w:rsidR="00D56EFB" w:rsidRPr="00897308">
        <w:rPr>
          <w:lang w:val="en-US"/>
        </w:rPr>
        <w:t>1</w:t>
      </w:r>
      <w:r w:rsidRPr="00897308">
        <w:rPr>
          <w:lang w:val="en-US"/>
        </w:rPr>
        <w:t xml:space="preserve"> </w:t>
      </w:r>
      <w:proofErr w:type="spellStart"/>
      <w:r w:rsidRPr="00897308">
        <w:rPr>
          <w:lang w:val="en-US"/>
        </w:rPr>
        <w:t>μm</w:t>
      </w:r>
      <w:proofErr w:type="spellEnd"/>
      <w:r w:rsidRPr="00897308">
        <w:rPr>
          <w:lang w:val="en-US"/>
        </w:rPr>
        <w:t>.</w:t>
      </w:r>
      <w:r w:rsidR="00BF66BF" w:rsidRPr="00897308">
        <w:rPr>
          <w:lang w:val="en-US"/>
        </w:rPr>
        <w:t xml:space="preserve"> TEM, Transmission electron microscopy; ALS, Amyotrophic lateral sclerosis.</w:t>
      </w:r>
    </w:p>
    <w:p w14:paraId="69B805B9" w14:textId="77777777" w:rsidR="002111D6" w:rsidRPr="00897308" w:rsidRDefault="002111D6">
      <w:pPr>
        <w:rPr>
          <w:lang w:val="en-US"/>
        </w:rPr>
      </w:pPr>
      <w:r w:rsidRPr="00897308">
        <w:rPr>
          <w:lang w:val="en-US"/>
        </w:rPr>
        <w:br w:type="page"/>
      </w:r>
    </w:p>
    <w:p w14:paraId="57444E0F" w14:textId="55BCEACC" w:rsidR="00DE0A91" w:rsidRPr="00897308" w:rsidRDefault="00DE0A91">
      <w:pPr>
        <w:rPr>
          <w:lang w:val="en-US"/>
        </w:rPr>
      </w:pPr>
      <w:r w:rsidRPr="00897308">
        <w:rPr>
          <w:noProof/>
          <w:lang w:val="en-US"/>
        </w:rPr>
        <w:lastRenderedPageBreak/>
        <w:drawing>
          <wp:inline distT="0" distB="0" distL="0" distR="0" wp14:anchorId="4B8880D4" wp14:editId="3526D813">
            <wp:extent cx="5760720" cy="2520696"/>
            <wp:effectExtent l="0" t="0" r="0" b="0"/>
            <wp:docPr id="15842488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248815" name="Рисунок 1584248815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2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57166" w14:textId="236F65E9" w:rsidR="00D56EFB" w:rsidRPr="00897308" w:rsidRDefault="00D56EFB" w:rsidP="00A05462">
      <w:pPr>
        <w:jc w:val="both"/>
        <w:rPr>
          <w:lang w:val="en-US"/>
        </w:rPr>
      </w:pPr>
      <w:r w:rsidRPr="00897308">
        <w:rPr>
          <w:b/>
          <w:bCs/>
          <w:lang w:val="en-US"/>
        </w:rPr>
        <w:t>Fig. S</w:t>
      </w:r>
      <w:r w:rsidR="00A05462" w:rsidRPr="00897308">
        <w:rPr>
          <w:b/>
          <w:bCs/>
          <w:lang w:val="en-US"/>
        </w:rPr>
        <w:t>2</w:t>
      </w:r>
      <w:r w:rsidRPr="00897308">
        <w:rPr>
          <w:b/>
          <w:bCs/>
          <w:lang w:val="en-US"/>
        </w:rPr>
        <w:t>. Representative TEM micrographs of longitudinal sections of the quadriceps femoris from non-transgenic (A) and SOD1-G93A (B) male mice at P</w:t>
      </w:r>
      <w:r w:rsidR="00A05462" w:rsidRPr="00897308">
        <w:rPr>
          <w:b/>
          <w:bCs/>
          <w:lang w:val="en-US"/>
        </w:rPr>
        <w:t>84</w:t>
      </w:r>
      <w:r w:rsidRPr="00897308">
        <w:rPr>
          <w:b/>
          <w:bCs/>
          <w:lang w:val="en-US"/>
        </w:rPr>
        <w:t xml:space="preserve">, established as </w:t>
      </w:r>
      <w:r w:rsidR="00A05462" w:rsidRPr="00897308">
        <w:rPr>
          <w:b/>
          <w:bCs/>
          <w:lang w:val="en-US"/>
        </w:rPr>
        <w:t xml:space="preserve">the early </w:t>
      </w:r>
      <w:r w:rsidRPr="00897308">
        <w:rPr>
          <w:b/>
          <w:bCs/>
          <w:lang w:val="en-US"/>
        </w:rPr>
        <w:t>symptomatic stage of ALS</w:t>
      </w:r>
      <w:r w:rsidR="00A05462" w:rsidRPr="00897308">
        <w:rPr>
          <w:rFonts w:eastAsia="宋体"/>
          <w:b/>
          <w:bCs/>
          <w:color w:val="000000"/>
          <w:lang w:val="en-US"/>
        </w:rPr>
        <w:t xml:space="preserve"> progression</w:t>
      </w:r>
      <w:r w:rsidRPr="00897308">
        <w:rPr>
          <w:b/>
          <w:bCs/>
          <w:lang w:val="en-US"/>
        </w:rPr>
        <w:t xml:space="preserve">. </w:t>
      </w:r>
      <w:r w:rsidRPr="00897308">
        <w:rPr>
          <w:lang w:val="en-US"/>
        </w:rPr>
        <w:t xml:space="preserve">Low magnification images of the subsarcolemmal region of the muscle </w:t>
      </w:r>
      <w:r w:rsidR="00BF66BF" w:rsidRPr="00897308">
        <w:rPr>
          <w:lang w:val="en-US"/>
        </w:rPr>
        <w:t>(</w:t>
      </w:r>
      <w:r w:rsidR="00BF66BF" w:rsidRPr="00897308">
        <w:rPr>
          <w:rFonts w:eastAsia="FangSong"/>
          <w:lang w:val="en-US"/>
        </w:rPr>
        <w:t>×</w:t>
      </w:r>
      <w:r w:rsidRPr="00897308">
        <w:rPr>
          <w:lang w:val="en-US"/>
        </w:rPr>
        <w:t xml:space="preserve">1500). In both groups, the sarcomeres had a typical morphology; no abnormalities were observed. The scale bar is 1 </w:t>
      </w:r>
      <w:proofErr w:type="spellStart"/>
      <w:r w:rsidRPr="00897308">
        <w:rPr>
          <w:lang w:val="en-US"/>
        </w:rPr>
        <w:t>μm</w:t>
      </w:r>
      <w:proofErr w:type="spellEnd"/>
      <w:r w:rsidRPr="00897308">
        <w:rPr>
          <w:lang w:val="en-US"/>
        </w:rPr>
        <w:t>.</w:t>
      </w:r>
      <w:r w:rsidR="00BF66BF" w:rsidRPr="00897308">
        <w:rPr>
          <w:lang w:val="en-US"/>
        </w:rPr>
        <w:t xml:space="preserve"> TEM, Transmission electron microscopy; ALS, Amyotrophic lateral sclerosis.</w:t>
      </w:r>
    </w:p>
    <w:p w14:paraId="4FE20A02" w14:textId="77777777" w:rsidR="00852AF6" w:rsidRPr="00897308" w:rsidRDefault="00852AF6">
      <w:pPr>
        <w:rPr>
          <w:lang w:val="en-US"/>
        </w:rPr>
      </w:pPr>
    </w:p>
    <w:p w14:paraId="5030A3FD" w14:textId="6F75B348" w:rsidR="00F101C9" w:rsidRPr="00897308" w:rsidRDefault="00F101C9">
      <w:pPr>
        <w:rPr>
          <w:lang w:val="en-US"/>
        </w:rPr>
      </w:pPr>
      <w:r w:rsidRPr="00897308">
        <w:rPr>
          <w:noProof/>
          <w:lang w:val="en-US"/>
        </w:rPr>
        <w:drawing>
          <wp:inline distT="0" distB="0" distL="0" distR="0" wp14:anchorId="116BD316" wp14:editId="459939D3">
            <wp:extent cx="5940425" cy="4065270"/>
            <wp:effectExtent l="0" t="0" r="3175" b="0"/>
            <wp:docPr id="5889229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922987" name="Рисунок 588922987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6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98DB5" w14:textId="7EAABFCB" w:rsidR="00F101C9" w:rsidRPr="00897308" w:rsidRDefault="00F101C9" w:rsidP="00F101C9">
      <w:pPr>
        <w:jc w:val="both"/>
        <w:rPr>
          <w:lang w:val="en-US"/>
        </w:rPr>
      </w:pPr>
      <w:r w:rsidRPr="00897308">
        <w:rPr>
          <w:b/>
          <w:bCs/>
          <w:lang w:val="en-US"/>
        </w:rPr>
        <w:t xml:space="preserve">Fig. S3. </w:t>
      </w:r>
      <w:r w:rsidR="006227CB" w:rsidRPr="00897308">
        <w:rPr>
          <w:b/>
          <w:bCs/>
          <w:lang w:val="en-US"/>
        </w:rPr>
        <w:t xml:space="preserve">High-magnification </w:t>
      </w:r>
      <w:r w:rsidR="00BF66BF" w:rsidRPr="00897308">
        <w:rPr>
          <w:b/>
          <w:bCs/>
          <w:lang w:val="en-US"/>
        </w:rPr>
        <w:t>(</w:t>
      </w:r>
      <w:r w:rsidR="00BF66BF" w:rsidRPr="00897308">
        <w:rPr>
          <w:rFonts w:eastAsia="FangSong"/>
          <w:lang w:val="en-US"/>
        </w:rPr>
        <w:t xml:space="preserve">×5000) </w:t>
      </w:r>
      <w:r w:rsidRPr="00897308">
        <w:rPr>
          <w:b/>
          <w:bCs/>
          <w:lang w:val="en-US"/>
        </w:rPr>
        <w:t xml:space="preserve">TEM </w:t>
      </w:r>
      <w:r w:rsidR="00764018" w:rsidRPr="00897308">
        <w:rPr>
          <w:b/>
          <w:bCs/>
          <w:lang w:val="en-US"/>
        </w:rPr>
        <w:t>image</w:t>
      </w:r>
      <w:r w:rsidRPr="00897308">
        <w:rPr>
          <w:b/>
          <w:bCs/>
          <w:lang w:val="en-US"/>
        </w:rPr>
        <w:t xml:space="preserve"> of </w:t>
      </w:r>
      <w:r w:rsidR="002C5B1F" w:rsidRPr="00897308">
        <w:rPr>
          <w:b/>
          <w:bCs/>
          <w:lang w:val="en-US"/>
        </w:rPr>
        <w:t xml:space="preserve">a </w:t>
      </w:r>
      <w:r w:rsidRPr="00897308">
        <w:rPr>
          <w:b/>
          <w:bCs/>
          <w:lang w:val="en-US"/>
        </w:rPr>
        <w:t xml:space="preserve">longitudinal section of the quadriceps femoris </w:t>
      </w:r>
      <w:r w:rsidR="002C5B1F" w:rsidRPr="00897308">
        <w:rPr>
          <w:b/>
          <w:bCs/>
          <w:lang w:val="en-US"/>
        </w:rPr>
        <w:t xml:space="preserve">muscle </w:t>
      </w:r>
      <w:r w:rsidRPr="00897308">
        <w:rPr>
          <w:b/>
          <w:bCs/>
          <w:lang w:val="en-US"/>
        </w:rPr>
        <w:t>from SOD1-G93A male mice at P154</w:t>
      </w:r>
      <w:r w:rsidR="006227CB" w:rsidRPr="00897308">
        <w:rPr>
          <w:b/>
          <w:bCs/>
          <w:lang w:val="en-US"/>
        </w:rPr>
        <w:t xml:space="preserve">, </w:t>
      </w:r>
      <w:r w:rsidR="002C5B1F" w:rsidRPr="00897308">
        <w:rPr>
          <w:b/>
          <w:bCs/>
          <w:lang w:val="en-US"/>
        </w:rPr>
        <w:t xml:space="preserve">showing </w:t>
      </w:r>
      <w:r w:rsidR="00764018" w:rsidRPr="00897308">
        <w:rPr>
          <w:b/>
          <w:bCs/>
          <w:lang w:val="en-US"/>
        </w:rPr>
        <w:t xml:space="preserve">Z-line curvature, </w:t>
      </w:r>
      <w:r w:rsidR="00900378" w:rsidRPr="00897308">
        <w:rPr>
          <w:b/>
          <w:bCs/>
          <w:lang w:val="en-US"/>
        </w:rPr>
        <w:t xml:space="preserve">sarcomere disorganization, and significant changes in mitochondria morphology and disposition. </w:t>
      </w:r>
      <w:r w:rsidR="00764018" w:rsidRPr="00897308">
        <w:rPr>
          <w:lang w:val="en-US"/>
        </w:rPr>
        <w:t>The micrograph</w:t>
      </w:r>
      <w:r w:rsidR="00764018" w:rsidRPr="00897308">
        <w:rPr>
          <w:b/>
          <w:bCs/>
          <w:lang w:val="en-US"/>
        </w:rPr>
        <w:t xml:space="preserve"> </w:t>
      </w:r>
      <w:r w:rsidR="00764018" w:rsidRPr="00897308">
        <w:rPr>
          <w:lang w:val="en-US"/>
        </w:rPr>
        <w:t xml:space="preserve">shows damaged (vacuolated) giant interfibrillar mitochondria, which are grouped in </w:t>
      </w:r>
      <w:r w:rsidR="00764018" w:rsidRPr="00897308">
        <w:rPr>
          <w:lang w:val="en-US"/>
        </w:rPr>
        <w:lastRenderedPageBreak/>
        <w:t xml:space="preserve">longitudinal rows between the myofibrils. These mitochondria are larger in size and have an edematous matrix with disrupted or missing outer and cristae membranes. </w:t>
      </w:r>
      <w:r w:rsidR="00E62FB5" w:rsidRPr="00897308">
        <w:rPr>
          <w:lang w:val="en-US"/>
        </w:rPr>
        <w:t xml:space="preserve">The appearance of </w:t>
      </w:r>
      <w:r w:rsidR="00945185" w:rsidRPr="00897308">
        <w:rPr>
          <w:lang w:val="en-US"/>
        </w:rPr>
        <w:t>the</w:t>
      </w:r>
      <w:r w:rsidR="00D41F25" w:rsidRPr="00897308">
        <w:rPr>
          <w:lang w:val="en-US"/>
        </w:rPr>
        <w:t>se</w:t>
      </w:r>
      <w:r w:rsidR="00E62FB5" w:rsidRPr="00897308">
        <w:rPr>
          <w:lang w:val="en-US"/>
        </w:rPr>
        <w:t xml:space="preserve"> mitochondria can disrupt the structure and function of the basic contractile unit of muscle, the sarcomere. </w:t>
      </w:r>
      <w:r w:rsidRPr="00897308">
        <w:rPr>
          <w:lang w:val="en-US"/>
        </w:rPr>
        <w:t xml:space="preserve">The scale bar is 2 </w:t>
      </w:r>
      <w:proofErr w:type="spellStart"/>
      <w:r w:rsidRPr="00897308">
        <w:rPr>
          <w:lang w:val="en-US"/>
        </w:rPr>
        <w:t>μm</w:t>
      </w:r>
      <w:proofErr w:type="spellEnd"/>
      <w:r w:rsidRPr="00897308">
        <w:rPr>
          <w:lang w:val="en-US"/>
        </w:rPr>
        <w:t>.</w:t>
      </w:r>
      <w:r w:rsidR="00BF66BF" w:rsidRPr="00897308">
        <w:rPr>
          <w:lang w:val="en-US"/>
        </w:rPr>
        <w:t xml:space="preserve"> TEM, Transmission electron microscopy; ALS, Amyotrophic lateral sclerosis.</w:t>
      </w:r>
    </w:p>
    <w:p w14:paraId="7F391EC2" w14:textId="77777777" w:rsidR="00F101C9" w:rsidRPr="00897308" w:rsidRDefault="00F101C9">
      <w:pPr>
        <w:rPr>
          <w:lang w:val="en-US"/>
        </w:rPr>
      </w:pPr>
    </w:p>
    <w:p w14:paraId="27764FD7" w14:textId="77777777" w:rsidR="00F101C9" w:rsidRPr="00897308" w:rsidRDefault="00F101C9">
      <w:pPr>
        <w:rPr>
          <w:lang w:val="en-US"/>
        </w:rPr>
      </w:pPr>
    </w:p>
    <w:p w14:paraId="70E525CE" w14:textId="528A37FC" w:rsidR="00852AF6" w:rsidRPr="00897308" w:rsidRDefault="00CC26BC">
      <w:pPr>
        <w:rPr>
          <w:lang w:val="en-US"/>
        </w:rPr>
      </w:pPr>
      <w:r w:rsidRPr="00897308">
        <w:rPr>
          <w:noProof/>
          <w:lang w:val="en-US"/>
        </w:rPr>
        <w:drawing>
          <wp:inline distT="0" distB="0" distL="0" distR="0" wp14:anchorId="1B92AC9E" wp14:editId="1F2D2448">
            <wp:extent cx="5760720" cy="3240024"/>
            <wp:effectExtent l="0" t="0" r="0" b="0"/>
            <wp:docPr id="15623971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397119" name="Рисунок 1562397119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0F648" w14:textId="4370487A" w:rsidR="00E21B25" w:rsidRDefault="00CE2626" w:rsidP="00E21B25">
      <w:pPr>
        <w:jc w:val="both"/>
        <w:rPr>
          <w:lang w:val="en-US"/>
        </w:rPr>
      </w:pPr>
      <w:r w:rsidRPr="00897308">
        <w:rPr>
          <w:b/>
          <w:bCs/>
          <w:lang w:val="en-US"/>
        </w:rPr>
        <w:t>Fig. S</w:t>
      </w:r>
      <w:r w:rsidR="00F101C9" w:rsidRPr="00897308">
        <w:rPr>
          <w:b/>
          <w:bCs/>
          <w:lang w:val="en-US"/>
        </w:rPr>
        <w:t>4</w:t>
      </w:r>
      <w:r w:rsidRPr="00897308">
        <w:rPr>
          <w:b/>
          <w:bCs/>
          <w:lang w:val="en-US"/>
        </w:rPr>
        <w:t xml:space="preserve">. </w:t>
      </w:r>
      <w:r w:rsidRPr="00897308">
        <w:rPr>
          <w:rFonts w:eastAsia="宋体"/>
          <w:b/>
          <w:bCs/>
          <w:szCs w:val="20"/>
          <w:lang w:val="en-US"/>
        </w:rPr>
        <w:t xml:space="preserve">Typical Oxygraph-2k records for respiration of mouse skeletal muscle mitochondria </w:t>
      </w:r>
      <w:r w:rsidRPr="00897308">
        <w:rPr>
          <w:b/>
          <w:bCs/>
          <w:lang w:val="en-US"/>
        </w:rPr>
        <w:t xml:space="preserve">from the quadriceps femoris of non-transgenic (A) and SOD1-G93A (B) male mice at P154, established as </w:t>
      </w:r>
      <w:r w:rsidR="005877C2" w:rsidRPr="00897308">
        <w:rPr>
          <w:b/>
          <w:bCs/>
          <w:lang w:val="en-US"/>
        </w:rPr>
        <w:t xml:space="preserve">the </w:t>
      </w:r>
      <w:r w:rsidRPr="00897308">
        <w:rPr>
          <w:b/>
          <w:bCs/>
          <w:lang w:val="en-US"/>
        </w:rPr>
        <w:t>late symptomatic (advanced) stage of ALS</w:t>
      </w:r>
      <w:r w:rsidR="005877C2" w:rsidRPr="00897308">
        <w:rPr>
          <w:rFonts w:eastAsia="宋体"/>
          <w:b/>
          <w:bCs/>
          <w:color w:val="000000"/>
          <w:lang w:val="en-US"/>
        </w:rPr>
        <w:t xml:space="preserve"> progression</w:t>
      </w:r>
      <w:r w:rsidRPr="00897308">
        <w:rPr>
          <w:b/>
          <w:bCs/>
          <w:lang w:val="en-US"/>
        </w:rPr>
        <w:t>.</w:t>
      </w:r>
      <w:r w:rsidR="00E21B25" w:rsidRPr="00897308">
        <w:rPr>
          <w:lang w:val="en-US"/>
        </w:rPr>
        <w:t xml:space="preserve"> Incubation medium composition: 130 mM </w:t>
      </w:r>
      <w:proofErr w:type="spellStart"/>
      <w:r w:rsidR="00E21B25" w:rsidRPr="00897308">
        <w:rPr>
          <w:lang w:val="en-US"/>
        </w:rPr>
        <w:t>KCl</w:t>
      </w:r>
      <w:proofErr w:type="spellEnd"/>
      <w:r w:rsidR="00E21B25" w:rsidRPr="00897308">
        <w:rPr>
          <w:lang w:val="en-US"/>
        </w:rPr>
        <w:t>, 5 mM NaH</w:t>
      </w:r>
      <w:r w:rsidR="00E21B25" w:rsidRPr="00897308">
        <w:rPr>
          <w:vertAlign w:val="subscript"/>
          <w:lang w:val="en-US"/>
        </w:rPr>
        <w:t>2</w:t>
      </w:r>
      <w:r w:rsidR="00E21B25" w:rsidRPr="00897308">
        <w:rPr>
          <w:lang w:val="en-US"/>
        </w:rPr>
        <w:t>PO4, 10 µM EGTA, and 10 mM HEPES-KOH (</w:t>
      </w:r>
      <w:proofErr w:type="spellStart"/>
      <w:r w:rsidR="00E21B25" w:rsidRPr="00897308">
        <w:rPr>
          <w:lang w:val="en-US"/>
        </w:rPr>
        <w:t>рН</w:t>
      </w:r>
      <w:proofErr w:type="spellEnd"/>
      <w:r w:rsidR="00E21B25" w:rsidRPr="00897308">
        <w:rPr>
          <w:lang w:val="en-US"/>
        </w:rPr>
        <w:t xml:space="preserve"> 7.4). Respiration of mouse skeletal muscle mitochondria (0.25 mg/ml) was fueled by the substrates of complex I of the respiratory chain, 2.5 mM potassium malate and 2.5 mM glutamate. Mitochondrial respiration in State 3 was initiated by 100 µM ADP. Mitochondrial respiration in state 3U</w:t>
      </w:r>
      <w:r w:rsidR="00E21B25" w:rsidRPr="00897308">
        <w:rPr>
          <w:vertAlign w:val="subscript"/>
          <w:lang w:val="en-US"/>
        </w:rPr>
        <w:t>DNP</w:t>
      </w:r>
      <w:r w:rsidR="00E21B25" w:rsidRPr="00897308">
        <w:rPr>
          <w:lang w:val="en-US"/>
        </w:rPr>
        <w:t xml:space="preserve"> was initiated by 50 µM 2,4-dinitrophenol. </w:t>
      </w:r>
      <w:r w:rsidR="00E21B25" w:rsidRPr="00897308">
        <w:rPr>
          <w:rFonts w:eastAsia="宋体"/>
          <w:szCs w:val="20"/>
          <w:lang w:val="en-US"/>
        </w:rPr>
        <w:t xml:space="preserve">Typical </w:t>
      </w:r>
      <w:r w:rsidR="00E21B25" w:rsidRPr="00897308">
        <w:rPr>
          <w:lang w:val="en-US"/>
        </w:rPr>
        <w:t>curves are shown (</w:t>
      </w:r>
      <w:r w:rsidR="00E21B25" w:rsidRPr="00897308">
        <w:rPr>
          <w:i/>
          <w:iCs/>
          <w:lang w:val="en-US"/>
        </w:rPr>
        <w:t>n</w:t>
      </w:r>
      <w:r w:rsidR="00E21B25" w:rsidRPr="00897308">
        <w:rPr>
          <w:lang w:val="en-US"/>
        </w:rPr>
        <w:t xml:space="preserve"> = 6).</w:t>
      </w:r>
    </w:p>
    <w:p w14:paraId="7901E596" w14:textId="350E9CAD" w:rsidR="00CE2626" w:rsidRPr="005F4EDC" w:rsidRDefault="00CE2626">
      <w:pPr>
        <w:rPr>
          <w:lang w:val="en-US"/>
        </w:rPr>
      </w:pPr>
    </w:p>
    <w:sectPr w:rsidR="00CE2626" w:rsidRPr="005F4ED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19DA3A85" w16cex:dateUtc="2025-02-18T08:34:00Z"/>
  <w16cex:commentExtensible w16cex:durableId="0B77BCD9" w16cex:dateUtc="2025-02-18T08:35:00Z"/>
  <w16cex:commentExtensible w16cex:durableId="1491F4E0" w16cex:dateUtc="2025-02-18T08:34:00Z"/>
  <w16cex:commentExtensible w16cex:durableId="3BA32937" w16cex:dateUtc="2025-02-18T08:35:00Z"/>
  <w16cex:commentExtensible w16cex:durableId="3DC68B66" w16cex:dateUtc="2025-02-18T08:34:00Z"/>
  <w16cex:commentExtensible w16cex:durableId="17CFEA06" w16cex:dateUtc="2025-02-18T08:35:00Z"/>
</w16cex:commentsExtensible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angSong"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bordersDoNotSurroundHeader/>
  <w:bordersDoNotSurroundFooter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EDC"/>
    <w:rsid w:val="00051F35"/>
    <w:rsid w:val="0010320C"/>
    <w:rsid w:val="002111D6"/>
    <w:rsid w:val="002116FD"/>
    <w:rsid w:val="002C5B1F"/>
    <w:rsid w:val="00404E07"/>
    <w:rsid w:val="00411E2E"/>
    <w:rsid w:val="00427E11"/>
    <w:rsid w:val="00531831"/>
    <w:rsid w:val="005877C2"/>
    <w:rsid w:val="005C5A5E"/>
    <w:rsid w:val="005F4EDC"/>
    <w:rsid w:val="006227CB"/>
    <w:rsid w:val="006C11C0"/>
    <w:rsid w:val="007274F8"/>
    <w:rsid w:val="00764018"/>
    <w:rsid w:val="008519F5"/>
    <w:rsid w:val="00852AF6"/>
    <w:rsid w:val="0088056B"/>
    <w:rsid w:val="00897308"/>
    <w:rsid w:val="008C78E7"/>
    <w:rsid w:val="00900378"/>
    <w:rsid w:val="009341BC"/>
    <w:rsid w:val="00945185"/>
    <w:rsid w:val="009D4B3D"/>
    <w:rsid w:val="00A05462"/>
    <w:rsid w:val="00B43993"/>
    <w:rsid w:val="00B73C2F"/>
    <w:rsid w:val="00B96419"/>
    <w:rsid w:val="00BF66BF"/>
    <w:rsid w:val="00CA236B"/>
    <w:rsid w:val="00CC26BC"/>
    <w:rsid w:val="00CE2626"/>
    <w:rsid w:val="00D41F25"/>
    <w:rsid w:val="00D56EFB"/>
    <w:rsid w:val="00DE0A91"/>
    <w:rsid w:val="00E21B25"/>
    <w:rsid w:val="00E5726A"/>
    <w:rsid w:val="00E62FB5"/>
    <w:rsid w:val="00F101C9"/>
    <w:rsid w:val="00F1045A"/>
    <w:rsid w:val="00F36ABB"/>
    <w:rsid w:val="00F379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9B20152"/>
  <w15:chartTrackingRefBased/>
  <w15:docId w15:val="{102CA9E9-6970-4A66-B202-65D221896A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theme="minorBidi"/>
        <w:kern w:val="2"/>
        <w:sz w:val="24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unhideWhenUsed/>
    <w:qFormat/>
    <w:rsid w:val="00BF66BF"/>
    <w:pPr>
      <w:widowControl w:val="0"/>
      <w:spacing w:after="0" w:line="240" w:lineRule="auto"/>
      <w:ind w:firstLineChars="200" w:firstLine="200"/>
    </w:pPr>
    <w:rPr>
      <w:rFonts w:eastAsia="Times New Roman" w:cs="Times New Roman"/>
      <w:sz w:val="21"/>
      <w:szCs w:val="21"/>
      <w:lang w:val="en-US" w:eastAsia="zh-CN"/>
      <w14:ligatures w14:val="none"/>
    </w:rPr>
  </w:style>
  <w:style w:type="character" w:customStyle="1" w:styleId="a4">
    <w:name w:val="批注文字 字符"/>
    <w:basedOn w:val="a0"/>
    <w:link w:val="a3"/>
    <w:uiPriority w:val="99"/>
    <w:qFormat/>
    <w:rsid w:val="00BF66BF"/>
    <w:rPr>
      <w:rFonts w:eastAsia="Times New Roman" w:cs="Times New Roman"/>
      <w:sz w:val="21"/>
      <w:szCs w:val="21"/>
      <w:lang w:val="en-US" w:eastAsia="zh-CN"/>
      <w14:ligatures w14:val="none"/>
    </w:rPr>
  </w:style>
  <w:style w:type="character" w:styleId="a5">
    <w:name w:val="annotation reference"/>
    <w:basedOn w:val="a0"/>
    <w:uiPriority w:val="99"/>
    <w:semiHidden/>
    <w:unhideWhenUsed/>
    <w:qFormat/>
    <w:rsid w:val="00BF66BF"/>
    <w:rPr>
      <w:sz w:val="21"/>
      <w:szCs w:val="21"/>
    </w:rPr>
  </w:style>
  <w:style w:type="paragraph" w:styleId="a6">
    <w:name w:val="Balloon Text"/>
    <w:basedOn w:val="a"/>
    <w:link w:val="a7"/>
    <w:uiPriority w:val="99"/>
    <w:semiHidden/>
    <w:unhideWhenUsed/>
    <w:rsid w:val="00897308"/>
    <w:pPr>
      <w:spacing w:after="0" w:line="240" w:lineRule="auto"/>
    </w:pPr>
    <w:rPr>
      <w:sz w:val="18"/>
      <w:szCs w:val="18"/>
    </w:rPr>
  </w:style>
  <w:style w:type="character" w:customStyle="1" w:styleId="a7">
    <w:name w:val="批注框文本 字符"/>
    <w:basedOn w:val="a0"/>
    <w:link w:val="a6"/>
    <w:uiPriority w:val="99"/>
    <w:semiHidden/>
    <w:rsid w:val="0089730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microsoft.com/office/2018/08/relationships/commentsExtensible" Target="commentsExtensible.xml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396</Words>
  <Characters>2364</Characters>
  <Application>Microsoft Office Word</Application>
  <DocSecurity>0</DocSecurity>
  <Lines>46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Белослудцева</dc:creator>
  <cp:keywords/>
  <dc:description/>
  <cp:lastModifiedBy>Aileen</cp:lastModifiedBy>
  <cp:revision>4</cp:revision>
  <dcterms:created xsi:type="dcterms:W3CDTF">2025-02-18T12:47:00Z</dcterms:created>
  <dcterms:modified xsi:type="dcterms:W3CDTF">2025-03-07T06:37:00Z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b9bd5e564a19842ef3ad086f4c8c5077bccb993e01d599474dc15b37724748a7</vt:lpwstr>
  </property>
</Properties>
</file>